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54" w:rsidRPr="00297ADE" w:rsidRDefault="00297ADE" w:rsidP="00297ADE">
      <w:pPr>
        <w:jc w:val="center"/>
        <w:rPr>
          <w:b/>
          <w:sz w:val="32"/>
          <w:szCs w:val="32"/>
        </w:rPr>
      </w:pPr>
      <w:r w:rsidRPr="00297ADE">
        <w:rPr>
          <w:b/>
          <w:sz w:val="32"/>
          <w:szCs w:val="32"/>
        </w:rPr>
        <w:t>Rozprávací slohový postup</w:t>
      </w:r>
    </w:p>
    <w:p w:rsidR="00000000" w:rsidRPr="00297ADE" w:rsidRDefault="00860BAC" w:rsidP="00297ADE">
      <w:pPr>
        <w:numPr>
          <w:ilvl w:val="0"/>
          <w:numId w:val="1"/>
        </w:numPr>
        <w:spacing w:after="0" w:line="240" w:lineRule="auto"/>
        <w:rPr>
          <w:lang w:val="cs-CZ"/>
        </w:rPr>
      </w:pPr>
      <w:r w:rsidRPr="00297ADE">
        <w:t>Forma ľudskej komunikácie</w:t>
      </w:r>
    </w:p>
    <w:p w:rsidR="00000000" w:rsidRPr="00297ADE" w:rsidRDefault="00860BAC" w:rsidP="00297ADE">
      <w:pPr>
        <w:numPr>
          <w:ilvl w:val="0"/>
          <w:numId w:val="1"/>
        </w:numPr>
        <w:spacing w:after="0" w:line="240" w:lineRule="auto"/>
        <w:rPr>
          <w:lang w:val="cs-CZ"/>
        </w:rPr>
      </w:pPr>
      <w:r w:rsidRPr="00297ADE">
        <w:t>Základný slohový útvar rozprávacieho slohového postupu</w:t>
      </w:r>
    </w:p>
    <w:p w:rsidR="00000000" w:rsidRPr="00297ADE" w:rsidRDefault="00860BAC" w:rsidP="00297ADE">
      <w:pPr>
        <w:numPr>
          <w:ilvl w:val="0"/>
          <w:numId w:val="1"/>
        </w:numPr>
        <w:spacing w:after="0" w:line="240" w:lineRule="auto"/>
        <w:rPr>
          <w:lang w:val="cs-CZ"/>
        </w:rPr>
      </w:pPr>
      <w:r w:rsidRPr="00297ADE">
        <w:t>Podstatná zložka umeleckéh</w:t>
      </w:r>
      <w:r w:rsidRPr="00297ADE">
        <w:t>o štýlu</w:t>
      </w:r>
    </w:p>
    <w:p w:rsidR="00000000" w:rsidRPr="00297ADE" w:rsidRDefault="00860BAC" w:rsidP="00297ADE">
      <w:pPr>
        <w:numPr>
          <w:ilvl w:val="0"/>
          <w:numId w:val="1"/>
        </w:numPr>
        <w:spacing w:after="0" w:line="240" w:lineRule="auto"/>
        <w:rPr>
          <w:lang w:val="cs-CZ"/>
        </w:rPr>
      </w:pPr>
      <w:r w:rsidRPr="00297ADE">
        <w:t>Základ epických diel</w:t>
      </w:r>
    </w:p>
    <w:p w:rsidR="00000000" w:rsidRPr="00297ADE" w:rsidRDefault="00860BAC" w:rsidP="00297ADE">
      <w:pPr>
        <w:numPr>
          <w:ilvl w:val="0"/>
          <w:numId w:val="1"/>
        </w:numPr>
        <w:spacing w:after="0" w:line="240" w:lineRule="auto"/>
        <w:rPr>
          <w:lang w:val="cs-CZ"/>
        </w:rPr>
      </w:pPr>
      <w:r w:rsidRPr="00297ADE">
        <w:t xml:space="preserve">Sústredenie sa na </w:t>
      </w:r>
      <w:r w:rsidRPr="00297ADE">
        <w:rPr>
          <w:u w:val="single"/>
        </w:rPr>
        <w:t>udalosť</w:t>
      </w:r>
      <w:r w:rsidRPr="00297ADE">
        <w:t>,</w:t>
      </w:r>
      <w:r w:rsidRPr="00297ADE">
        <w:t xml:space="preserve"> ktorá sa odohrala, na </w:t>
      </w:r>
      <w:r w:rsidRPr="00297ADE">
        <w:rPr>
          <w:u w:val="single"/>
        </w:rPr>
        <w:t>zápletky</w:t>
      </w:r>
      <w:r w:rsidRPr="00297ADE">
        <w:t xml:space="preserve">, </w:t>
      </w:r>
      <w:r w:rsidRPr="00297ADE">
        <w:rPr>
          <w:u w:val="single"/>
        </w:rPr>
        <w:t>konflikty</w:t>
      </w:r>
      <w:r w:rsidRPr="00297ADE">
        <w:t xml:space="preserve"> </w:t>
      </w:r>
      <w:r w:rsidRPr="00297ADE">
        <w:t xml:space="preserve">a ich riešenia </w:t>
      </w:r>
    </w:p>
    <w:p w:rsidR="00297ADE" w:rsidRDefault="00297ADE" w:rsidP="00297ADE">
      <w:pPr>
        <w:spacing w:after="0" w:line="240" w:lineRule="auto"/>
      </w:pPr>
    </w:p>
    <w:p w:rsidR="00297ADE" w:rsidRPr="00297ADE" w:rsidRDefault="00297ADE" w:rsidP="00297ADE">
      <w:pPr>
        <w:spacing w:after="0" w:line="240" w:lineRule="auto"/>
        <w:rPr>
          <w:b/>
          <w:sz w:val="24"/>
          <w:szCs w:val="24"/>
        </w:rPr>
      </w:pPr>
      <w:r w:rsidRPr="00297ADE">
        <w:rPr>
          <w:b/>
          <w:sz w:val="24"/>
          <w:szCs w:val="24"/>
        </w:rPr>
        <w:t>Kompozícia:</w:t>
      </w:r>
    </w:p>
    <w:p w:rsidR="00000000" w:rsidRPr="00297ADE" w:rsidRDefault="00860BAC" w:rsidP="00297ADE">
      <w:pPr>
        <w:numPr>
          <w:ilvl w:val="0"/>
          <w:numId w:val="2"/>
        </w:numPr>
        <w:spacing w:after="0" w:line="240" w:lineRule="auto"/>
        <w:rPr>
          <w:lang w:val="cs-CZ"/>
        </w:rPr>
      </w:pPr>
      <w:r w:rsidRPr="00297ADE">
        <w:rPr>
          <w:i/>
          <w:iCs/>
        </w:rPr>
        <w:t>Zložitá a dôležitá</w:t>
      </w:r>
    </w:p>
    <w:p w:rsidR="00000000" w:rsidRPr="00297ADE" w:rsidRDefault="00860BAC" w:rsidP="00297ADE">
      <w:pPr>
        <w:numPr>
          <w:ilvl w:val="0"/>
          <w:numId w:val="2"/>
        </w:numPr>
        <w:spacing w:after="0" w:line="240" w:lineRule="auto"/>
        <w:rPr>
          <w:lang w:val="cs-CZ"/>
        </w:rPr>
      </w:pPr>
      <w:r w:rsidRPr="00297ADE">
        <w:rPr>
          <w:b/>
          <w:bCs/>
          <w:i/>
          <w:iCs/>
          <w:u w:val="single"/>
        </w:rPr>
        <w:t>Rozprávanie zachytáva:</w:t>
      </w:r>
    </w:p>
    <w:p w:rsidR="00000000" w:rsidRPr="00297ADE" w:rsidRDefault="00860BAC" w:rsidP="00297ADE">
      <w:pPr>
        <w:numPr>
          <w:ilvl w:val="0"/>
          <w:numId w:val="3"/>
        </w:numPr>
        <w:spacing w:after="0" w:line="240" w:lineRule="auto"/>
        <w:rPr>
          <w:lang w:val="cs-CZ"/>
        </w:rPr>
      </w:pPr>
      <w:r w:rsidRPr="00297ADE">
        <w:t>udalosť, príbeh</w:t>
      </w:r>
    </w:p>
    <w:p w:rsidR="00000000" w:rsidRPr="00297ADE" w:rsidRDefault="00860BAC" w:rsidP="00297ADE">
      <w:pPr>
        <w:numPr>
          <w:ilvl w:val="0"/>
          <w:numId w:val="3"/>
        </w:numPr>
        <w:spacing w:after="0" w:line="240" w:lineRule="auto"/>
        <w:rPr>
          <w:lang w:val="cs-CZ"/>
        </w:rPr>
      </w:pPr>
      <w:r w:rsidRPr="00297ADE">
        <w:t>prostredie</w:t>
      </w:r>
    </w:p>
    <w:p w:rsidR="00000000" w:rsidRPr="00297ADE" w:rsidRDefault="00860BAC" w:rsidP="00297ADE">
      <w:pPr>
        <w:numPr>
          <w:ilvl w:val="0"/>
          <w:numId w:val="3"/>
        </w:numPr>
        <w:spacing w:after="0" w:line="240" w:lineRule="auto"/>
        <w:rPr>
          <w:lang w:val="cs-CZ"/>
        </w:rPr>
      </w:pPr>
      <w:r w:rsidRPr="00297ADE">
        <w:t>charaktery osôb</w:t>
      </w:r>
    </w:p>
    <w:p w:rsidR="00000000" w:rsidRPr="00297ADE" w:rsidRDefault="00860BAC" w:rsidP="00297ADE">
      <w:pPr>
        <w:numPr>
          <w:ilvl w:val="0"/>
          <w:numId w:val="3"/>
        </w:numPr>
        <w:spacing w:after="0" w:line="240" w:lineRule="auto"/>
        <w:rPr>
          <w:lang w:val="cs-CZ"/>
        </w:rPr>
      </w:pPr>
      <w:r w:rsidRPr="00297ADE">
        <w:t>motívy konania</w:t>
      </w:r>
    </w:p>
    <w:p w:rsidR="00000000" w:rsidRPr="00297ADE" w:rsidRDefault="00860BAC" w:rsidP="00297ADE">
      <w:pPr>
        <w:numPr>
          <w:ilvl w:val="0"/>
          <w:numId w:val="3"/>
        </w:numPr>
        <w:spacing w:after="0" w:line="240" w:lineRule="auto"/>
        <w:rPr>
          <w:lang w:val="cs-CZ"/>
        </w:rPr>
      </w:pPr>
      <w:r w:rsidRPr="00297ADE">
        <w:t>reč</w:t>
      </w:r>
    </w:p>
    <w:p w:rsidR="00000000" w:rsidRPr="00297ADE" w:rsidRDefault="00860BAC" w:rsidP="00297ADE">
      <w:pPr>
        <w:numPr>
          <w:ilvl w:val="0"/>
          <w:numId w:val="4"/>
        </w:numPr>
        <w:spacing w:after="0" w:line="240" w:lineRule="auto"/>
        <w:rPr>
          <w:lang w:val="cs-CZ"/>
        </w:rPr>
      </w:pPr>
      <w:r w:rsidRPr="00297ADE">
        <w:rPr>
          <w:b/>
          <w:bCs/>
          <w:i/>
          <w:iCs/>
          <w:u w:val="single"/>
        </w:rPr>
        <w:t>Využitie iných slohových postupov</w:t>
      </w:r>
      <w:r w:rsidRPr="00297ADE">
        <w:rPr>
          <w:b/>
          <w:bCs/>
        </w:rPr>
        <w:t>:</w:t>
      </w:r>
    </w:p>
    <w:p w:rsidR="00000000" w:rsidRPr="00297ADE" w:rsidRDefault="00860BAC" w:rsidP="00297ADE">
      <w:pPr>
        <w:numPr>
          <w:ilvl w:val="0"/>
          <w:numId w:val="5"/>
        </w:numPr>
        <w:spacing w:after="0" w:line="240" w:lineRule="auto"/>
        <w:rPr>
          <w:lang w:val="cs-CZ"/>
        </w:rPr>
      </w:pPr>
      <w:r w:rsidRPr="00297ADE">
        <w:t>opis</w:t>
      </w:r>
    </w:p>
    <w:p w:rsidR="00000000" w:rsidRPr="00297ADE" w:rsidRDefault="00860BAC" w:rsidP="00297ADE">
      <w:pPr>
        <w:numPr>
          <w:ilvl w:val="0"/>
          <w:numId w:val="5"/>
        </w:numPr>
        <w:spacing w:after="0" w:line="240" w:lineRule="auto"/>
        <w:rPr>
          <w:lang w:val="cs-CZ"/>
        </w:rPr>
      </w:pPr>
      <w:r w:rsidRPr="00297ADE">
        <w:t>charakteristika</w:t>
      </w:r>
    </w:p>
    <w:p w:rsidR="00000000" w:rsidRPr="00297ADE" w:rsidRDefault="00860BAC" w:rsidP="00297ADE">
      <w:pPr>
        <w:numPr>
          <w:ilvl w:val="0"/>
          <w:numId w:val="5"/>
        </w:numPr>
        <w:spacing w:after="0" w:line="240" w:lineRule="auto"/>
        <w:rPr>
          <w:lang w:val="cs-CZ"/>
        </w:rPr>
      </w:pPr>
      <w:r w:rsidRPr="00297ADE">
        <w:t>úvaha</w:t>
      </w:r>
    </w:p>
    <w:p w:rsidR="00000000" w:rsidRPr="00297ADE" w:rsidRDefault="00860BAC" w:rsidP="00297ADE">
      <w:pPr>
        <w:numPr>
          <w:ilvl w:val="0"/>
          <w:numId w:val="5"/>
        </w:numPr>
        <w:spacing w:after="0" w:line="240" w:lineRule="auto"/>
        <w:rPr>
          <w:lang w:val="cs-CZ"/>
        </w:rPr>
      </w:pPr>
      <w:r w:rsidRPr="00297ADE">
        <w:t>príp. krátky výklad</w:t>
      </w:r>
    </w:p>
    <w:p w:rsidR="00297ADE" w:rsidRDefault="00297ADE" w:rsidP="00297ADE">
      <w:pPr>
        <w:spacing w:after="0" w:line="240" w:lineRule="auto"/>
      </w:pPr>
    </w:p>
    <w:p w:rsidR="00297ADE" w:rsidRPr="00297ADE" w:rsidRDefault="00297ADE" w:rsidP="00297ADE">
      <w:pPr>
        <w:spacing w:after="0" w:line="240" w:lineRule="auto"/>
        <w:rPr>
          <w:lang w:val="cs-CZ"/>
        </w:rPr>
      </w:pPr>
      <w:r w:rsidRPr="00297ADE">
        <w:rPr>
          <w:b/>
          <w:sz w:val="24"/>
          <w:szCs w:val="24"/>
        </w:rPr>
        <w:t>Vnútorná kompozícia</w:t>
      </w:r>
      <w:r>
        <w:t>:</w:t>
      </w:r>
    </w:p>
    <w:p w:rsidR="00297ADE" w:rsidRDefault="00297ADE" w:rsidP="00297ADE">
      <w:pPr>
        <w:spacing w:after="0"/>
      </w:pPr>
      <w:r w:rsidRPr="00297ADE">
        <w:drawing>
          <wp:inline distT="0" distB="0" distL="0" distR="0">
            <wp:extent cx="5760720" cy="3297440"/>
            <wp:effectExtent l="0" t="0" r="0" b="0"/>
            <wp:docPr id="2" name="Objek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86800" cy="4972051"/>
                      <a:chOff x="304800" y="1554162"/>
                      <a:chExt cx="8686800" cy="4972051"/>
                    </a:xfrm>
                  </a:grpSpPr>
                  <a:sp>
                    <a:nvSpPr>
                      <a:cNvPr id="6147" name="Rectangle 3"/>
                      <a:cNvSpPr>
                        <a:spLocks noGrp="1" noRot="1" noChangeArrowheads="1"/>
                      </a:cNvSpPr>
                    </a:nvSpPr>
                    <a:spPr>
                      <a:xfrm>
                        <a:off x="304800" y="1554162"/>
                        <a:ext cx="8686800" cy="452596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>
                          <a:normAutofit/>
                        </a:bodyPr>
                        <a:lstStyle>
                          <a:lvl1pPr marL="342900" indent="-3429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70000"/>
                            <a:buFont typeface="Wingdings 2"/>
                            <a:buChar char=""/>
                            <a:defRPr kumimoji="0" sz="32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70000"/>
                            <a:buFont typeface="Wingdings 2"/>
                            <a:buChar char=""/>
                            <a:defRPr kumimoji="0" sz="28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70000"/>
                            <a:buFont typeface="Wingdings 2"/>
                            <a:buChar char=""/>
                            <a:defRPr kumimoji="0" sz="24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70000"/>
                            <a:buFont typeface="Wingdings 2"/>
                            <a:buChar char=""/>
                            <a:defRPr kumimoji="0" sz="20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60000"/>
                            <a:buFont typeface="Wingdings 2"/>
                            <a:buChar char=""/>
                            <a:defRPr kumimoji="0" sz="18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60000"/>
                            <a:buFont typeface="Wingdings 2"/>
                            <a:buChar char=""/>
                            <a:defRPr kumimoji="0" sz="18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60000"/>
                            <a:buFont typeface="Wingdings 2"/>
                            <a:buChar char=""/>
                            <a:defRPr kumimoji="0" sz="1600" kern="120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60000"/>
                            <a:buFont typeface="Wingdings 2"/>
                            <a:buChar char=""/>
                            <a:defRPr kumimoji="0" sz="1600" kern="1200" baseline="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rtl="0" eaLnBrk="1" latinLnBrk="0" hangingPunct="1">
                            <a:spcBef>
                              <a:spcPct val="20000"/>
                            </a:spcBef>
                            <a:buClr>
                              <a:schemeClr val="accent1"/>
                            </a:buClr>
                            <a:buSzPct val="60000"/>
                            <a:buFont typeface="Wingdings 2"/>
                            <a:buChar char=""/>
                            <a:defRPr kumimoji="0" sz="1400" kern="1200" baseline="0">
                              <a:solidFill>
                                <a:schemeClr val="tx2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sk-SK" sz="1800" i="1" u="sng" dirty="0"/>
                            <a:t>Cieľavedomé usporiadanie obsahu</a:t>
                          </a:r>
                        </a:p>
                        <a:p>
                          <a:pPr>
                            <a:buClr>
                              <a:schemeClr val="tx1"/>
                            </a:buClr>
                            <a:buFont typeface="Wingdings" pitchFamily="2" charset="2"/>
                            <a:buChar char="Ø"/>
                          </a:pPr>
                          <a:r>
                            <a:rPr lang="sk-SK" sz="1800" dirty="0"/>
                            <a:t>vnáša napätie</a:t>
                          </a:r>
                        </a:p>
                        <a:p>
                          <a:pPr>
                            <a:buClr>
                              <a:schemeClr val="tx1"/>
                            </a:buClr>
                            <a:buFont typeface="Wingdings" pitchFamily="2" charset="2"/>
                            <a:buChar char="Ø"/>
                          </a:pPr>
                          <a:r>
                            <a:rPr lang="sk-SK" sz="1800" dirty="0"/>
                            <a:t>dramatickosť                  dielo je zaujímavejšie a krajšie</a:t>
                          </a:r>
                        </a:p>
                        <a:p>
                          <a:pPr>
                            <a:buClr>
                              <a:schemeClr val="tx1"/>
                            </a:buClr>
                            <a:buFont typeface="Wingdings" pitchFamily="2" charset="2"/>
                            <a:buChar char="Ø"/>
                          </a:pPr>
                          <a:r>
                            <a:rPr lang="sk-SK" sz="1800" dirty="0"/>
                            <a:t>neočakávanosť</a:t>
                          </a:r>
                        </a:p>
                        <a:p>
                          <a:pPr>
                            <a:buClr>
                              <a:schemeClr val="tx1"/>
                            </a:buClr>
                            <a:buFont typeface="Wingdings" pitchFamily="2" charset="2"/>
                            <a:buNone/>
                          </a:pPr>
                          <a:endParaRPr lang="sk-SK" sz="1800" dirty="0"/>
                        </a:p>
                      </a:txBody>
                      <a:useSpRect/>
                    </a:txSp>
                  </a:sp>
                  <a:sp>
                    <a:nvSpPr>
                      <a:cNvPr id="6148" name="Line 4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4286248" y="2643182"/>
                        <a:ext cx="71438" cy="3571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150" name="Rectangle 6"/>
                      <a:cNvSpPr>
                        <a:spLocks noChangeArrowheads="1"/>
                      </a:cNvSpPr>
                    </a:nvSpPr>
                    <a:spPr bwMode="auto">
                      <a:xfrm>
                        <a:off x="971550" y="3213100"/>
                        <a:ext cx="7561263" cy="863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/>
                            <a:t>Usporiadanie čiastkových dejových motívov,</a:t>
                          </a:r>
                        </a:p>
                        <a:p>
                          <a:pPr algn="ctr"/>
                          <a:r>
                            <a:rPr lang="sk-SK"/>
                            <a:t> fáz, do celku tak, aby vytvárali napäťový oblúk, sa nazýva </a:t>
                          </a:r>
                        </a:p>
                        <a:p>
                          <a:pPr algn="ctr"/>
                          <a:r>
                            <a:rPr lang="sk-SK"/>
                            <a:t>vnútorná kompozícia diela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63" name="AutoShape 19"/>
                      <a:cNvSpPr>
                        <a:spLocks noChangeArrowheads="1"/>
                      </a:cNvSpPr>
                    </a:nvSpPr>
                    <a:spPr bwMode="auto">
                      <a:xfrm>
                        <a:off x="395288" y="5734050"/>
                        <a:ext cx="1778000" cy="792163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/>
                            <a:t>Expozícia</a:t>
                          </a:r>
                        </a:p>
                        <a:p>
                          <a:pPr algn="ctr"/>
                          <a:r>
                            <a:rPr lang="sk-SK"/>
                            <a:t>úvod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64" name="AutoShape 20"/>
                      <a:cNvSpPr>
                        <a:spLocks noChangeArrowheads="1"/>
                      </a:cNvSpPr>
                    </a:nvSpPr>
                    <a:spPr bwMode="auto">
                      <a:xfrm>
                        <a:off x="3203575" y="4149725"/>
                        <a:ext cx="1800225" cy="7207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/>
                            <a:t>Kríza</a:t>
                          </a:r>
                        </a:p>
                        <a:p>
                          <a:pPr algn="ctr"/>
                          <a:r>
                            <a:rPr lang="sk-SK"/>
                            <a:t>vyvrcholenie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65" name="AutoShape 21"/>
                      <a:cNvSpPr>
                        <a:spLocks noChangeArrowheads="1"/>
                      </a:cNvSpPr>
                    </a:nvSpPr>
                    <a:spPr bwMode="auto">
                      <a:xfrm>
                        <a:off x="5867400" y="4581525"/>
                        <a:ext cx="1728788" cy="696913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/>
                            <a:t>Peripetia</a:t>
                          </a:r>
                        </a:p>
                        <a:p>
                          <a:pPr algn="ctr"/>
                          <a:r>
                            <a:rPr lang="sk-SK"/>
                            <a:t>zvrat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66" name="AutoShape 22"/>
                      <a:cNvSpPr>
                        <a:spLocks noChangeArrowheads="1"/>
                      </a:cNvSpPr>
                    </a:nvSpPr>
                    <a:spPr bwMode="auto">
                      <a:xfrm>
                        <a:off x="971550" y="4652963"/>
                        <a:ext cx="1800225" cy="7207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/>
                            <a:t>Kolízia</a:t>
                          </a:r>
                        </a:p>
                        <a:p>
                          <a:pPr algn="ctr"/>
                          <a:r>
                            <a:rPr lang="sk-SK"/>
                            <a:t>zápletka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68" name="AutoShape 24"/>
                      <a:cNvSpPr>
                        <a:spLocks noChangeArrowheads="1"/>
                      </a:cNvSpPr>
                    </a:nvSpPr>
                    <a:spPr bwMode="auto">
                      <a:xfrm>
                        <a:off x="6372225" y="5661025"/>
                        <a:ext cx="1728788" cy="7207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sk-SK" dirty="0"/>
                            <a:t>Katastrofa</a:t>
                          </a:r>
                        </a:p>
                        <a:p>
                          <a:pPr algn="ctr"/>
                          <a:r>
                            <a:rPr lang="sk-SK" dirty="0"/>
                            <a:t>rozuzlenie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169" name="Line 25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1042988" y="5373688"/>
                        <a:ext cx="433387" cy="360362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170" name="Line 26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1979613" y="4365625"/>
                        <a:ext cx="1223962" cy="28733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171" name="Line 27"/>
                      <a:cNvSpPr>
                        <a:spLocks noChangeShapeType="1"/>
                      </a:cNvSpPr>
                    </a:nvSpPr>
                    <a:spPr bwMode="auto">
                      <a:xfrm>
                        <a:off x="5003800" y="4365625"/>
                        <a:ext cx="1512888" cy="2159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  <a:sp>
                    <a:nvSpPr>
                      <a:cNvPr id="6172" name="Line 28"/>
                      <a:cNvSpPr>
                        <a:spLocks noChangeShapeType="1"/>
                      </a:cNvSpPr>
                    </a:nvSpPr>
                    <a:spPr bwMode="auto">
                      <a:xfrm>
                        <a:off x="6948488" y="5300663"/>
                        <a:ext cx="431800" cy="360362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 type="triangle" w="med" len="med"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sk-SK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sk-SK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297ADE" w:rsidRDefault="00297ADE" w:rsidP="00297ADE">
      <w:pPr>
        <w:spacing w:after="0"/>
      </w:pPr>
    </w:p>
    <w:p w:rsidR="00297ADE" w:rsidRPr="00297ADE" w:rsidRDefault="00297ADE" w:rsidP="00297ADE">
      <w:pPr>
        <w:spacing w:after="0"/>
        <w:rPr>
          <w:b/>
          <w:sz w:val="24"/>
          <w:szCs w:val="24"/>
        </w:rPr>
      </w:pPr>
      <w:r w:rsidRPr="00297ADE">
        <w:rPr>
          <w:b/>
          <w:sz w:val="24"/>
          <w:szCs w:val="24"/>
        </w:rPr>
        <w:t>Kompozičné postupy:</w:t>
      </w:r>
    </w:p>
    <w:p w:rsidR="00000000" w:rsidRPr="00297ADE" w:rsidRDefault="00860BAC" w:rsidP="00297ADE">
      <w:pPr>
        <w:numPr>
          <w:ilvl w:val="0"/>
          <w:numId w:val="6"/>
        </w:numPr>
        <w:spacing w:after="0" w:line="240" w:lineRule="auto"/>
        <w:rPr>
          <w:b/>
          <w:lang w:val="cs-CZ"/>
        </w:rPr>
      </w:pPr>
      <w:r w:rsidRPr="00297ADE">
        <w:rPr>
          <w:b/>
        </w:rPr>
        <w:t>Chronologický</w:t>
      </w:r>
    </w:p>
    <w:p w:rsidR="00000000" w:rsidRPr="00297ADE" w:rsidRDefault="00860BAC" w:rsidP="00297ADE">
      <w:pPr>
        <w:numPr>
          <w:ilvl w:val="0"/>
          <w:numId w:val="7"/>
        </w:numPr>
        <w:spacing w:after="0" w:line="240" w:lineRule="auto"/>
        <w:rPr>
          <w:lang w:val="cs-CZ"/>
        </w:rPr>
      </w:pPr>
      <w:r w:rsidRPr="00297ADE">
        <w:t>dej sa vyvíja plynulo, udalosti sú zachytené v časovej postupnosti</w:t>
      </w:r>
    </w:p>
    <w:p w:rsidR="00000000" w:rsidRPr="00297ADE" w:rsidRDefault="00860BAC" w:rsidP="00297ADE">
      <w:pPr>
        <w:numPr>
          <w:ilvl w:val="0"/>
          <w:numId w:val="8"/>
        </w:numPr>
        <w:spacing w:after="0" w:line="240" w:lineRule="auto"/>
        <w:rPr>
          <w:b/>
          <w:lang w:val="cs-CZ"/>
        </w:rPr>
      </w:pPr>
      <w:r w:rsidRPr="00297ADE">
        <w:rPr>
          <w:b/>
        </w:rPr>
        <w:t xml:space="preserve">Retrospektívny </w:t>
      </w:r>
    </w:p>
    <w:p w:rsidR="00000000" w:rsidRPr="00297ADE" w:rsidRDefault="00860BAC" w:rsidP="00297ADE">
      <w:pPr>
        <w:numPr>
          <w:ilvl w:val="0"/>
          <w:numId w:val="9"/>
        </w:numPr>
        <w:spacing w:after="0" w:line="240" w:lineRule="auto"/>
        <w:rPr>
          <w:lang w:val="cs-CZ"/>
        </w:rPr>
      </w:pPr>
      <w:r w:rsidRPr="00297ADE">
        <w:t xml:space="preserve">dej sa odohráva </w:t>
      </w:r>
      <w:r w:rsidRPr="00297ADE">
        <w:t>pospiatky (čitateľ vie, ako sa príbeh skončil, ale nevie, čo sa predtým odohralo)</w:t>
      </w:r>
    </w:p>
    <w:p w:rsidR="00000000" w:rsidRPr="00297ADE" w:rsidRDefault="00860BAC" w:rsidP="00297ADE">
      <w:pPr>
        <w:numPr>
          <w:ilvl w:val="0"/>
          <w:numId w:val="10"/>
        </w:numPr>
        <w:spacing w:after="0" w:line="240" w:lineRule="auto"/>
        <w:rPr>
          <w:b/>
          <w:lang w:val="cs-CZ"/>
        </w:rPr>
      </w:pPr>
      <w:r w:rsidRPr="00297ADE">
        <w:rPr>
          <w:b/>
        </w:rPr>
        <w:t>Paralelný (</w:t>
      </w:r>
      <w:proofErr w:type="spellStart"/>
      <w:r w:rsidRPr="00297ADE">
        <w:rPr>
          <w:b/>
        </w:rPr>
        <w:t>pásmovitý</w:t>
      </w:r>
      <w:proofErr w:type="spellEnd"/>
      <w:r w:rsidRPr="00297ADE">
        <w:rPr>
          <w:b/>
        </w:rPr>
        <w:t xml:space="preserve">) </w:t>
      </w:r>
    </w:p>
    <w:p w:rsidR="00000000" w:rsidRPr="00297ADE" w:rsidRDefault="00860BAC" w:rsidP="00297ADE">
      <w:pPr>
        <w:numPr>
          <w:ilvl w:val="0"/>
          <w:numId w:val="11"/>
        </w:numPr>
        <w:spacing w:after="0" w:line="240" w:lineRule="auto"/>
        <w:rPr>
          <w:lang w:val="cs-CZ"/>
        </w:rPr>
      </w:pPr>
      <w:r w:rsidRPr="00297ADE">
        <w:lastRenderedPageBreak/>
        <w:t xml:space="preserve">Sledujeme dva alebo viacej dejov (dejové línie sa môžu rozvíjať samostatne, alebo sa navzájom stretnú – L. N. </w:t>
      </w:r>
      <w:proofErr w:type="spellStart"/>
      <w:r w:rsidRPr="00297ADE">
        <w:t>Tolstoj</w:t>
      </w:r>
      <w:proofErr w:type="spellEnd"/>
      <w:r w:rsidRPr="00297ADE">
        <w:t xml:space="preserve">: </w:t>
      </w:r>
      <w:r w:rsidRPr="00297ADE">
        <w:rPr>
          <w:i/>
          <w:iCs/>
        </w:rPr>
        <w:t>Vojna a mier</w:t>
      </w:r>
      <w:r w:rsidRPr="00297ADE">
        <w:t>)</w:t>
      </w:r>
    </w:p>
    <w:p w:rsidR="00000000" w:rsidRPr="00297ADE" w:rsidRDefault="00860BAC" w:rsidP="00297ADE">
      <w:pPr>
        <w:numPr>
          <w:ilvl w:val="0"/>
          <w:numId w:val="12"/>
        </w:numPr>
        <w:spacing w:after="0" w:line="240" w:lineRule="auto"/>
        <w:rPr>
          <w:b/>
          <w:lang w:val="cs-CZ"/>
        </w:rPr>
      </w:pPr>
      <w:r w:rsidRPr="00297ADE">
        <w:rPr>
          <w:b/>
        </w:rPr>
        <w:t>Rámcový</w:t>
      </w:r>
    </w:p>
    <w:p w:rsidR="00000000" w:rsidRPr="00297ADE" w:rsidRDefault="00860BAC" w:rsidP="00297ADE">
      <w:pPr>
        <w:numPr>
          <w:ilvl w:val="0"/>
          <w:numId w:val="13"/>
        </w:numPr>
        <w:spacing w:after="0" w:line="240" w:lineRule="auto"/>
        <w:rPr>
          <w:lang w:val="cs-CZ"/>
        </w:rPr>
      </w:pPr>
      <w:r w:rsidRPr="00297ADE">
        <w:t xml:space="preserve">Do rozprávania postavy/postáv prvého príbehu sa vkladajú postupne ďalšie príbehy – G. </w:t>
      </w:r>
      <w:proofErr w:type="spellStart"/>
      <w:r w:rsidRPr="00297ADE">
        <w:t>Boccaccio</w:t>
      </w:r>
      <w:proofErr w:type="spellEnd"/>
      <w:r w:rsidRPr="00297ADE">
        <w:t xml:space="preserve">: </w:t>
      </w:r>
      <w:r w:rsidRPr="00297ADE">
        <w:rPr>
          <w:i/>
          <w:iCs/>
        </w:rPr>
        <w:t>Dekameron</w:t>
      </w:r>
      <w:r w:rsidRPr="00297ADE">
        <w:t xml:space="preserve">; </w:t>
      </w:r>
      <w:r w:rsidRPr="00297ADE">
        <w:rPr>
          <w:i/>
          <w:iCs/>
        </w:rPr>
        <w:t>Tisíc a jedna noc</w:t>
      </w:r>
    </w:p>
    <w:p w:rsidR="00000000" w:rsidRPr="00297ADE" w:rsidRDefault="00860BAC" w:rsidP="00297ADE">
      <w:pPr>
        <w:numPr>
          <w:ilvl w:val="0"/>
          <w:numId w:val="14"/>
        </w:numPr>
        <w:spacing w:after="0" w:line="240" w:lineRule="auto"/>
        <w:rPr>
          <w:b/>
          <w:lang w:val="cs-CZ"/>
        </w:rPr>
      </w:pPr>
      <w:r w:rsidRPr="00297ADE">
        <w:rPr>
          <w:b/>
        </w:rPr>
        <w:t>Retardačný</w:t>
      </w:r>
    </w:p>
    <w:p w:rsidR="00000000" w:rsidRPr="00297ADE" w:rsidRDefault="00860BAC" w:rsidP="00297ADE">
      <w:pPr>
        <w:numPr>
          <w:ilvl w:val="0"/>
          <w:numId w:val="15"/>
        </w:numPr>
        <w:spacing w:after="0" w:line="240" w:lineRule="auto"/>
        <w:rPr>
          <w:lang w:val="cs-CZ"/>
        </w:rPr>
      </w:pPr>
      <w:r w:rsidRPr="00297ADE">
        <w:t>Tento postup rozprávanie spomaľuje; základná dejová línia môže byť prerušená (vstupuje nová postava, zaradená je úvah</w:t>
      </w:r>
      <w:r w:rsidRPr="00297ADE">
        <w:t>a, vykreslenie krajiny)</w:t>
      </w:r>
    </w:p>
    <w:p w:rsidR="00000000" w:rsidRPr="00297ADE" w:rsidRDefault="00860BAC" w:rsidP="00297ADE">
      <w:pPr>
        <w:numPr>
          <w:ilvl w:val="0"/>
          <w:numId w:val="16"/>
        </w:numPr>
        <w:spacing w:after="0" w:line="240" w:lineRule="auto"/>
        <w:rPr>
          <w:b/>
          <w:lang w:val="cs-CZ"/>
        </w:rPr>
      </w:pPr>
      <w:r w:rsidRPr="00297ADE">
        <w:rPr>
          <w:b/>
        </w:rPr>
        <w:t>Reťazový</w:t>
      </w:r>
    </w:p>
    <w:p w:rsidR="00000000" w:rsidRPr="00297ADE" w:rsidRDefault="00860BAC" w:rsidP="00297ADE">
      <w:pPr>
        <w:numPr>
          <w:ilvl w:val="0"/>
          <w:numId w:val="17"/>
        </w:numPr>
        <w:spacing w:after="0" w:line="240" w:lineRule="auto"/>
        <w:rPr>
          <w:lang w:val="cs-CZ"/>
        </w:rPr>
      </w:pPr>
      <w:r w:rsidRPr="00297ADE">
        <w:t xml:space="preserve">Na jednu udalosť nadväzujú mnohé nové udalosti, pričom väzby medzi nimi sú dosť uvoľnené – </w:t>
      </w:r>
      <w:proofErr w:type="spellStart"/>
      <w:r w:rsidRPr="00297ADE">
        <w:t>Cervantes</w:t>
      </w:r>
      <w:proofErr w:type="spellEnd"/>
      <w:r w:rsidRPr="00297ADE">
        <w:t xml:space="preserve">: </w:t>
      </w:r>
      <w:r w:rsidRPr="00297ADE">
        <w:rPr>
          <w:i/>
          <w:iCs/>
        </w:rPr>
        <w:t xml:space="preserve">Dômyselný rytier Don </w:t>
      </w:r>
      <w:proofErr w:type="spellStart"/>
      <w:r w:rsidRPr="00297ADE">
        <w:rPr>
          <w:i/>
          <w:iCs/>
        </w:rPr>
        <w:t>Quijote</w:t>
      </w:r>
      <w:proofErr w:type="spellEnd"/>
      <w:r w:rsidRPr="00297ADE">
        <w:rPr>
          <w:i/>
          <w:iCs/>
        </w:rPr>
        <w:t xml:space="preserve"> </w:t>
      </w:r>
      <w:proofErr w:type="spellStart"/>
      <w:r w:rsidRPr="00297ADE">
        <w:rPr>
          <w:i/>
          <w:iCs/>
        </w:rPr>
        <w:t>de</w:t>
      </w:r>
      <w:proofErr w:type="spellEnd"/>
      <w:r w:rsidRPr="00297ADE">
        <w:rPr>
          <w:i/>
          <w:iCs/>
        </w:rPr>
        <w:t xml:space="preserve"> la </w:t>
      </w:r>
      <w:proofErr w:type="spellStart"/>
      <w:r w:rsidRPr="00297ADE">
        <w:rPr>
          <w:i/>
          <w:iCs/>
        </w:rPr>
        <w:t>Mancha</w:t>
      </w:r>
      <w:proofErr w:type="spellEnd"/>
      <w:r w:rsidRPr="00297ADE">
        <w:rPr>
          <w:i/>
          <w:iCs/>
        </w:rPr>
        <w:t xml:space="preserve"> </w:t>
      </w:r>
    </w:p>
    <w:p w:rsidR="00297ADE" w:rsidRDefault="00297ADE" w:rsidP="00297ADE">
      <w:pPr>
        <w:spacing w:after="0" w:line="240" w:lineRule="auto"/>
      </w:pPr>
    </w:p>
    <w:p w:rsidR="00297ADE" w:rsidRPr="00297ADE" w:rsidRDefault="00297ADE" w:rsidP="00297ADE">
      <w:pPr>
        <w:spacing w:after="0" w:line="240" w:lineRule="auto"/>
        <w:rPr>
          <w:b/>
          <w:sz w:val="24"/>
          <w:szCs w:val="24"/>
        </w:rPr>
      </w:pPr>
      <w:r w:rsidRPr="00297ADE">
        <w:rPr>
          <w:b/>
          <w:sz w:val="24"/>
          <w:szCs w:val="24"/>
        </w:rPr>
        <w:t>Rozprávač</w:t>
      </w:r>
    </w:p>
    <w:p w:rsidR="00000000" w:rsidRPr="00297ADE" w:rsidRDefault="00860BAC" w:rsidP="00297ADE">
      <w:pPr>
        <w:numPr>
          <w:ilvl w:val="0"/>
          <w:numId w:val="18"/>
        </w:numPr>
        <w:spacing w:after="0" w:line="240" w:lineRule="auto"/>
        <w:rPr>
          <w:lang w:val="cs-CZ"/>
        </w:rPr>
      </w:pPr>
      <w:r w:rsidRPr="00297ADE">
        <w:t>V dávnoveku nejestvoval pojem autor</w:t>
      </w:r>
    </w:p>
    <w:p w:rsidR="00000000" w:rsidRPr="00297ADE" w:rsidRDefault="00860BAC" w:rsidP="00297ADE">
      <w:pPr>
        <w:numPr>
          <w:ilvl w:val="0"/>
          <w:numId w:val="18"/>
        </w:numPr>
        <w:spacing w:after="0" w:line="240" w:lineRule="auto"/>
        <w:rPr>
          <w:lang w:val="cs-CZ"/>
        </w:rPr>
      </w:pPr>
      <w:r w:rsidRPr="00297ADE">
        <w:t>Ako pôvodca diela sa vnímal jeho tlmoč</w:t>
      </w:r>
      <w:r w:rsidRPr="00297ADE">
        <w:t>ník – spevák, rozprávkar, igric...</w:t>
      </w:r>
    </w:p>
    <w:p w:rsidR="00000000" w:rsidRPr="00297ADE" w:rsidRDefault="00860BAC" w:rsidP="00297ADE">
      <w:pPr>
        <w:numPr>
          <w:ilvl w:val="0"/>
          <w:numId w:val="18"/>
        </w:numPr>
        <w:spacing w:after="0" w:line="240" w:lineRule="auto"/>
        <w:rPr>
          <w:lang w:val="cs-CZ"/>
        </w:rPr>
      </w:pPr>
      <w:r w:rsidRPr="00297ADE">
        <w:t>V antike a v stredoveku sa meno autora spája s dielom (autorov duchovný majetok)</w:t>
      </w:r>
    </w:p>
    <w:p w:rsidR="00000000" w:rsidRPr="00297ADE" w:rsidRDefault="00860BAC" w:rsidP="00297ADE">
      <w:pPr>
        <w:numPr>
          <w:ilvl w:val="0"/>
          <w:numId w:val="18"/>
        </w:numPr>
        <w:spacing w:after="0" w:line="240" w:lineRule="auto"/>
        <w:rPr>
          <w:lang w:val="cs-CZ"/>
        </w:rPr>
      </w:pPr>
      <w:r w:rsidRPr="00297ADE">
        <w:t>Čitateľ vníma autora ako toho, kto rozpráva príbeh</w:t>
      </w:r>
    </w:p>
    <w:p w:rsidR="00000000" w:rsidRPr="00297ADE" w:rsidRDefault="00860BAC" w:rsidP="00297ADE">
      <w:pPr>
        <w:numPr>
          <w:ilvl w:val="0"/>
          <w:numId w:val="18"/>
        </w:numPr>
        <w:spacing w:after="0" w:line="240" w:lineRule="auto"/>
        <w:rPr>
          <w:lang w:val="cs-CZ"/>
        </w:rPr>
      </w:pPr>
      <w:r w:rsidRPr="00297ADE">
        <w:t>Často autor poveril rozprávaním fiktívnu postavu – tá sa chápe ako rozprávač</w:t>
      </w:r>
    </w:p>
    <w:p w:rsidR="00000000" w:rsidRPr="00297ADE" w:rsidRDefault="00860BAC" w:rsidP="00297ADE">
      <w:pPr>
        <w:numPr>
          <w:ilvl w:val="0"/>
          <w:numId w:val="18"/>
        </w:numPr>
        <w:spacing w:after="0" w:line="240" w:lineRule="auto"/>
        <w:rPr>
          <w:lang w:val="cs-CZ"/>
        </w:rPr>
      </w:pPr>
      <w:r w:rsidRPr="00297ADE">
        <w:t>V 20. st</w:t>
      </w:r>
      <w:r w:rsidRPr="00297ADE">
        <w:t xml:space="preserve">oročí literárni vedci vytvorili kategóriu rozprávača – nevystupuje ako postava v deji, iba ho rozpráva </w:t>
      </w:r>
    </w:p>
    <w:p w:rsidR="00297ADE" w:rsidRPr="00297ADE" w:rsidRDefault="00297ADE" w:rsidP="00297ADE">
      <w:pPr>
        <w:spacing w:after="0" w:line="240" w:lineRule="auto"/>
        <w:rPr>
          <w:b/>
          <w:sz w:val="24"/>
          <w:szCs w:val="24"/>
        </w:rPr>
      </w:pPr>
      <w:proofErr w:type="spellStart"/>
      <w:r w:rsidRPr="00297ADE">
        <w:rPr>
          <w:b/>
          <w:sz w:val="24"/>
          <w:szCs w:val="24"/>
        </w:rPr>
        <w:t>Lit</w:t>
      </w:r>
      <w:proofErr w:type="spellEnd"/>
      <w:r w:rsidRPr="00297ADE">
        <w:rPr>
          <w:b/>
          <w:sz w:val="24"/>
          <w:szCs w:val="24"/>
        </w:rPr>
        <w:t>. postava</w:t>
      </w:r>
    </w:p>
    <w:p w:rsidR="00000000" w:rsidRPr="00297ADE" w:rsidRDefault="00860BAC" w:rsidP="00297ADE">
      <w:pPr>
        <w:numPr>
          <w:ilvl w:val="0"/>
          <w:numId w:val="19"/>
        </w:numPr>
        <w:spacing w:after="0" w:line="240" w:lineRule="auto"/>
        <w:rPr>
          <w:lang w:val="cs-CZ"/>
        </w:rPr>
      </w:pPr>
      <w:r w:rsidRPr="00297ADE">
        <w:t>Väčšina epických diel rozpráva o osudoch ľudí</w:t>
      </w:r>
    </w:p>
    <w:p w:rsidR="00000000" w:rsidRPr="00297ADE" w:rsidRDefault="00860BAC" w:rsidP="00297ADE">
      <w:pPr>
        <w:numPr>
          <w:ilvl w:val="0"/>
          <w:numId w:val="19"/>
        </w:numPr>
        <w:spacing w:after="0" w:line="240" w:lineRule="auto"/>
        <w:rPr>
          <w:lang w:val="cs-CZ"/>
        </w:rPr>
      </w:pPr>
      <w:r w:rsidRPr="00297ADE">
        <w:t>Dej je fiktívny, zdanlivý (aj keď jeho základom je skutočná udalosť)</w:t>
      </w:r>
    </w:p>
    <w:p w:rsidR="00000000" w:rsidRPr="00297ADE" w:rsidRDefault="00860BAC" w:rsidP="00297ADE">
      <w:pPr>
        <w:numPr>
          <w:ilvl w:val="0"/>
          <w:numId w:val="19"/>
        </w:numPr>
        <w:spacing w:after="0" w:line="240" w:lineRule="auto"/>
        <w:rPr>
          <w:lang w:val="cs-CZ"/>
        </w:rPr>
      </w:pPr>
      <w:r w:rsidRPr="00297ADE">
        <w:t>Konajúce postavy sú vždy fiktívne</w:t>
      </w:r>
    </w:p>
    <w:p w:rsidR="00000000" w:rsidRPr="00297ADE" w:rsidRDefault="00860BAC" w:rsidP="00297ADE">
      <w:pPr>
        <w:numPr>
          <w:ilvl w:val="0"/>
          <w:numId w:val="19"/>
        </w:numPr>
        <w:spacing w:after="0" w:line="240" w:lineRule="auto"/>
        <w:rPr>
          <w:lang w:val="cs-CZ"/>
        </w:rPr>
      </w:pPr>
      <w:r w:rsidRPr="00297ADE">
        <w:t>Umelec sa snaží, aby opisom postavy, prienikom do psychiky a stvárnením jej činov vytvoril ilúziu skutočného človeka</w:t>
      </w:r>
    </w:p>
    <w:p w:rsidR="00297ADE" w:rsidRDefault="00297ADE" w:rsidP="00297ADE">
      <w:pPr>
        <w:spacing w:after="0" w:line="240" w:lineRule="auto"/>
        <w:rPr>
          <w:b/>
          <w:bCs/>
        </w:rPr>
      </w:pPr>
    </w:p>
    <w:p w:rsidR="00000000" w:rsidRPr="00297ADE" w:rsidRDefault="00860BAC" w:rsidP="00297ADE">
      <w:pPr>
        <w:spacing w:after="0" w:line="240" w:lineRule="auto"/>
        <w:rPr>
          <w:sz w:val="24"/>
          <w:szCs w:val="24"/>
          <w:lang w:val="cs-CZ"/>
        </w:rPr>
      </w:pPr>
      <w:r w:rsidRPr="00297ADE">
        <w:rPr>
          <w:b/>
          <w:bCs/>
          <w:sz w:val="24"/>
          <w:szCs w:val="24"/>
        </w:rPr>
        <w:t>Reč rozprávača – autorská reč</w:t>
      </w:r>
    </w:p>
    <w:p w:rsidR="00000000" w:rsidRPr="00297ADE" w:rsidRDefault="00860BAC" w:rsidP="00297ADE">
      <w:pPr>
        <w:numPr>
          <w:ilvl w:val="0"/>
          <w:numId w:val="21"/>
        </w:numPr>
        <w:spacing w:after="0" w:line="240" w:lineRule="auto"/>
        <w:rPr>
          <w:lang w:val="cs-CZ"/>
        </w:rPr>
      </w:pPr>
      <w:r w:rsidRPr="00297ADE">
        <w:t>Základný text v pásme rozprávača</w:t>
      </w:r>
    </w:p>
    <w:p w:rsidR="00000000" w:rsidRPr="00297ADE" w:rsidRDefault="00860BAC" w:rsidP="00297ADE">
      <w:pPr>
        <w:numPr>
          <w:ilvl w:val="0"/>
          <w:numId w:val="21"/>
        </w:numPr>
        <w:spacing w:after="0" w:line="240" w:lineRule="auto"/>
        <w:rPr>
          <w:lang w:val="cs-CZ"/>
        </w:rPr>
      </w:pPr>
      <w:r w:rsidRPr="00297ADE">
        <w:t>Založená na epickej objektívnosti – nezainteresovane rozvíja príbeh, kom</w:t>
      </w:r>
      <w:r w:rsidRPr="00297ADE">
        <w:t>entuje konanie postáv, zobrazuje prostredie, uvádza reč postáv</w:t>
      </w:r>
    </w:p>
    <w:p w:rsidR="00000000" w:rsidRPr="00297ADE" w:rsidRDefault="00860BAC" w:rsidP="00297ADE">
      <w:pPr>
        <w:numPr>
          <w:ilvl w:val="0"/>
          <w:numId w:val="21"/>
        </w:numPr>
        <w:spacing w:after="0" w:line="240" w:lineRule="auto"/>
        <w:rPr>
          <w:lang w:val="cs-CZ"/>
        </w:rPr>
      </w:pPr>
      <w:r w:rsidRPr="00297ADE">
        <w:t>Využíva 3. slovesnú osobu v minulom čase</w:t>
      </w:r>
    </w:p>
    <w:p w:rsidR="00000000" w:rsidRPr="00297ADE" w:rsidRDefault="00860BAC" w:rsidP="00297ADE">
      <w:pPr>
        <w:numPr>
          <w:ilvl w:val="0"/>
          <w:numId w:val="21"/>
        </w:numPr>
        <w:spacing w:after="0" w:line="240" w:lineRule="auto"/>
        <w:rPr>
          <w:lang w:val="cs-CZ"/>
        </w:rPr>
      </w:pPr>
      <w:r w:rsidRPr="00297ADE">
        <w:t>Má spisovnú podobu (výnimky súvisia so zámerom prózy)</w:t>
      </w:r>
    </w:p>
    <w:p w:rsidR="00000000" w:rsidRPr="00297ADE" w:rsidRDefault="00860BAC" w:rsidP="00297ADE">
      <w:pPr>
        <w:numPr>
          <w:ilvl w:val="0"/>
          <w:numId w:val="21"/>
        </w:numPr>
        <w:spacing w:after="0" w:line="240" w:lineRule="auto"/>
        <w:rPr>
          <w:lang w:val="cs-CZ"/>
        </w:rPr>
      </w:pPr>
      <w:r w:rsidRPr="00297ADE">
        <w:rPr>
          <w:i/>
          <w:iCs/>
          <w:u w:val="single"/>
        </w:rPr>
        <w:t>Rozprávačom môže byť</w:t>
      </w:r>
    </w:p>
    <w:p w:rsidR="00000000" w:rsidRPr="00297ADE" w:rsidRDefault="00860BAC" w:rsidP="00297ADE">
      <w:pPr>
        <w:numPr>
          <w:ilvl w:val="0"/>
          <w:numId w:val="22"/>
        </w:numPr>
        <w:spacing w:after="0" w:line="240" w:lineRule="auto"/>
        <w:rPr>
          <w:lang w:val="cs-CZ"/>
        </w:rPr>
      </w:pPr>
      <w:r w:rsidRPr="00297ADE">
        <w:t>Autor – (</w:t>
      </w:r>
      <w:proofErr w:type="spellStart"/>
      <w:r w:rsidRPr="00297ADE">
        <w:t>on-rozprávanie</w:t>
      </w:r>
      <w:proofErr w:type="spellEnd"/>
      <w:r w:rsidRPr="00297ADE">
        <w:t>) – rozprávač je skrytý, anonymný, všetko vidí a v</w:t>
      </w:r>
      <w:r w:rsidRPr="00297ADE">
        <w:t>ie, je objektívny</w:t>
      </w:r>
    </w:p>
    <w:p w:rsidR="00000000" w:rsidRPr="00297ADE" w:rsidRDefault="00860BAC" w:rsidP="00297ADE">
      <w:pPr>
        <w:numPr>
          <w:ilvl w:val="0"/>
          <w:numId w:val="22"/>
        </w:numPr>
        <w:spacing w:after="0" w:line="240" w:lineRule="auto"/>
        <w:rPr>
          <w:lang w:val="cs-CZ"/>
        </w:rPr>
      </w:pPr>
      <w:r w:rsidRPr="00297ADE">
        <w:t>Niektorá z postáv – (</w:t>
      </w:r>
      <w:proofErr w:type="spellStart"/>
      <w:r w:rsidRPr="00297ADE">
        <w:t>ja-rozprávanie</w:t>
      </w:r>
      <w:proofErr w:type="spellEnd"/>
      <w:r w:rsidRPr="00297ADE">
        <w:t>, priame rozprávanie) – rozprávač  je zjavný, čitateľ vie o ňom, je subjektívny</w:t>
      </w:r>
    </w:p>
    <w:p w:rsidR="00297ADE" w:rsidRDefault="00297ADE" w:rsidP="00297ADE">
      <w:pPr>
        <w:spacing w:after="0" w:line="240" w:lineRule="auto"/>
      </w:pPr>
    </w:p>
    <w:p w:rsidR="00297ADE" w:rsidRPr="00297ADE" w:rsidRDefault="00297ADE" w:rsidP="00297ADE">
      <w:pPr>
        <w:spacing w:after="0" w:line="240" w:lineRule="auto"/>
        <w:rPr>
          <w:b/>
          <w:sz w:val="24"/>
          <w:szCs w:val="24"/>
        </w:rPr>
      </w:pPr>
      <w:r w:rsidRPr="00297ADE">
        <w:rPr>
          <w:b/>
          <w:sz w:val="24"/>
          <w:szCs w:val="24"/>
        </w:rPr>
        <w:t>Reč postáv</w:t>
      </w:r>
    </w:p>
    <w:p w:rsidR="00000000" w:rsidRPr="00297ADE" w:rsidRDefault="00860BAC" w:rsidP="00297ADE">
      <w:pPr>
        <w:numPr>
          <w:ilvl w:val="0"/>
          <w:numId w:val="23"/>
        </w:numPr>
        <w:spacing w:after="0" w:line="240" w:lineRule="auto"/>
        <w:rPr>
          <w:lang w:val="cs-CZ"/>
        </w:rPr>
      </w:pPr>
      <w:r w:rsidRPr="00297ADE">
        <w:t>Dramatizuje, oživuje rozprávanie</w:t>
      </w:r>
    </w:p>
    <w:p w:rsidR="00000000" w:rsidRPr="00297ADE" w:rsidRDefault="00860BAC" w:rsidP="00297ADE">
      <w:pPr>
        <w:numPr>
          <w:ilvl w:val="0"/>
          <w:numId w:val="23"/>
        </w:numPr>
        <w:spacing w:after="0" w:line="240" w:lineRule="auto"/>
        <w:rPr>
          <w:lang w:val="cs-CZ"/>
        </w:rPr>
      </w:pPr>
      <w:r w:rsidRPr="00297ADE">
        <w:t xml:space="preserve">Realizuje sa </w:t>
      </w:r>
      <w:r w:rsidRPr="00297ADE">
        <w:rPr>
          <w:b/>
          <w:bCs/>
          <w:i/>
          <w:iCs/>
        </w:rPr>
        <w:t>dialógom</w:t>
      </w:r>
    </w:p>
    <w:p w:rsidR="00000000" w:rsidRPr="00297ADE" w:rsidRDefault="00860BAC" w:rsidP="00297ADE">
      <w:pPr>
        <w:numPr>
          <w:ilvl w:val="0"/>
          <w:numId w:val="23"/>
        </w:numPr>
        <w:spacing w:after="0" w:line="240" w:lineRule="auto"/>
        <w:rPr>
          <w:lang w:val="cs-CZ"/>
        </w:rPr>
      </w:pPr>
      <w:r w:rsidRPr="00297ADE">
        <w:t>Dialóg v próze je rozhovor dvoch (viac) postáv</w:t>
      </w:r>
    </w:p>
    <w:p w:rsidR="00000000" w:rsidRPr="00297ADE" w:rsidRDefault="00860BAC" w:rsidP="00297ADE">
      <w:pPr>
        <w:numPr>
          <w:ilvl w:val="0"/>
          <w:numId w:val="23"/>
        </w:numPr>
        <w:spacing w:after="0" w:line="240" w:lineRule="auto"/>
        <w:rPr>
          <w:lang w:val="cs-CZ"/>
        </w:rPr>
      </w:pPr>
      <w:r w:rsidRPr="00297ADE">
        <w:rPr>
          <w:b/>
          <w:bCs/>
          <w:i/>
          <w:iCs/>
        </w:rPr>
        <w:t>Replika</w:t>
      </w:r>
      <w:r w:rsidRPr="00297ADE">
        <w:t xml:space="preserve"> – </w:t>
      </w:r>
      <w:r w:rsidRPr="00297ADE">
        <w:t xml:space="preserve">prehovor jednej postavy, vyjadruje sa </w:t>
      </w:r>
      <w:r w:rsidRPr="00297ADE">
        <w:rPr>
          <w:i/>
          <w:iCs/>
        </w:rPr>
        <w:t>priamou rečou</w:t>
      </w:r>
    </w:p>
    <w:p w:rsidR="00000000" w:rsidRPr="00297ADE" w:rsidRDefault="00860BAC" w:rsidP="00297ADE">
      <w:pPr>
        <w:numPr>
          <w:ilvl w:val="0"/>
          <w:numId w:val="23"/>
        </w:numPr>
        <w:spacing w:after="0" w:line="240" w:lineRule="auto"/>
        <w:rPr>
          <w:lang w:val="cs-CZ"/>
        </w:rPr>
      </w:pPr>
      <w:r w:rsidRPr="00297ADE">
        <w:t>Funkcia dialógu:</w:t>
      </w:r>
    </w:p>
    <w:p w:rsidR="00000000" w:rsidRPr="00297ADE" w:rsidRDefault="00860BAC" w:rsidP="00297ADE">
      <w:pPr>
        <w:numPr>
          <w:ilvl w:val="1"/>
          <w:numId w:val="23"/>
        </w:numPr>
        <w:spacing w:after="0" w:line="240" w:lineRule="auto"/>
        <w:rPr>
          <w:lang w:val="cs-CZ"/>
        </w:rPr>
      </w:pPr>
      <w:r w:rsidRPr="00297ADE">
        <w:rPr>
          <w:i/>
          <w:iCs/>
        </w:rPr>
        <w:t>Rozvíja príbeh</w:t>
      </w:r>
    </w:p>
    <w:p w:rsidR="00000000" w:rsidRPr="00297ADE" w:rsidRDefault="00860BAC" w:rsidP="00297ADE">
      <w:pPr>
        <w:numPr>
          <w:ilvl w:val="1"/>
          <w:numId w:val="23"/>
        </w:numPr>
        <w:spacing w:after="0" w:line="240" w:lineRule="auto"/>
        <w:rPr>
          <w:lang w:val="cs-CZ"/>
        </w:rPr>
      </w:pPr>
      <w:r w:rsidRPr="00297ADE">
        <w:rPr>
          <w:i/>
          <w:iCs/>
        </w:rPr>
        <w:t>Stupňuje konflikt</w:t>
      </w:r>
    </w:p>
    <w:p w:rsidR="00000000" w:rsidRPr="00297ADE" w:rsidRDefault="00860BAC" w:rsidP="00297ADE">
      <w:pPr>
        <w:numPr>
          <w:ilvl w:val="1"/>
          <w:numId w:val="23"/>
        </w:numPr>
        <w:spacing w:after="0" w:line="240" w:lineRule="auto"/>
        <w:rPr>
          <w:lang w:val="cs-CZ"/>
        </w:rPr>
      </w:pPr>
      <w:r w:rsidRPr="00297ADE">
        <w:rPr>
          <w:i/>
          <w:iCs/>
        </w:rPr>
        <w:t>Charakterizuje postavy</w:t>
      </w:r>
    </w:p>
    <w:p w:rsidR="00000000" w:rsidRPr="00297ADE" w:rsidRDefault="00860BAC" w:rsidP="00297ADE">
      <w:pPr>
        <w:numPr>
          <w:ilvl w:val="0"/>
          <w:numId w:val="23"/>
        </w:numPr>
        <w:spacing w:after="0" w:line="240" w:lineRule="auto"/>
        <w:rPr>
          <w:lang w:val="cs-CZ"/>
        </w:rPr>
      </w:pPr>
      <w:r w:rsidRPr="00297ADE">
        <w:rPr>
          <w:b/>
          <w:bCs/>
          <w:i/>
          <w:iCs/>
        </w:rPr>
        <w:t xml:space="preserve">Priama reč </w:t>
      </w:r>
      <w:r w:rsidRPr="00297ADE">
        <w:rPr>
          <w:b/>
          <w:bCs/>
          <w:i/>
          <w:iCs/>
        </w:rPr>
        <w:t xml:space="preserve"> - </w:t>
      </w:r>
      <w:r w:rsidRPr="00297ADE">
        <w:t>je doslovným citovaním reči postáv</w:t>
      </w:r>
    </w:p>
    <w:p w:rsidR="00000000" w:rsidRPr="00297ADE" w:rsidRDefault="00860BAC" w:rsidP="00297ADE">
      <w:pPr>
        <w:numPr>
          <w:ilvl w:val="1"/>
          <w:numId w:val="23"/>
        </w:numPr>
        <w:spacing w:after="0" w:line="240" w:lineRule="auto"/>
        <w:rPr>
          <w:lang w:val="cs-CZ"/>
        </w:rPr>
      </w:pPr>
      <w:r w:rsidRPr="00297ADE">
        <w:rPr>
          <w:b/>
          <w:bCs/>
        </w:rPr>
        <w:t>Uvádza ju uvádzacia veta</w:t>
      </w:r>
    </w:p>
    <w:p w:rsidR="00000000" w:rsidRPr="00297ADE" w:rsidRDefault="00860BAC" w:rsidP="00297ADE">
      <w:pPr>
        <w:numPr>
          <w:ilvl w:val="1"/>
          <w:numId w:val="23"/>
        </w:numPr>
        <w:spacing w:after="0" w:line="240" w:lineRule="auto"/>
        <w:rPr>
          <w:lang w:val="cs-CZ"/>
        </w:rPr>
      </w:pPr>
      <w:r w:rsidRPr="00297ADE">
        <w:rPr>
          <w:b/>
          <w:bCs/>
        </w:rPr>
        <w:t>Dáva sa do úvodzoviek (môže sa nahradiť aj pomlčkami) – formálny znak priamej reči</w:t>
      </w:r>
    </w:p>
    <w:p w:rsidR="00000000" w:rsidRPr="00297ADE" w:rsidRDefault="00860BAC" w:rsidP="00297ADE">
      <w:pPr>
        <w:numPr>
          <w:ilvl w:val="1"/>
          <w:numId w:val="23"/>
        </w:numPr>
        <w:spacing w:after="0" w:line="240" w:lineRule="auto"/>
        <w:rPr>
          <w:lang w:val="cs-CZ"/>
        </w:rPr>
      </w:pPr>
      <w:r w:rsidRPr="00297ADE">
        <w:rPr>
          <w:b/>
          <w:bCs/>
        </w:rPr>
        <w:lastRenderedPageBreak/>
        <w:t>Vyčleňuje sa do osobitného odseku</w:t>
      </w:r>
    </w:p>
    <w:p w:rsidR="00000000" w:rsidRPr="00297ADE" w:rsidRDefault="00860BAC" w:rsidP="00297ADE">
      <w:pPr>
        <w:numPr>
          <w:ilvl w:val="1"/>
          <w:numId w:val="23"/>
        </w:numPr>
        <w:spacing w:after="0" w:line="240" w:lineRule="auto"/>
        <w:rPr>
          <w:lang w:val="cs-CZ"/>
        </w:rPr>
      </w:pPr>
      <w:r w:rsidRPr="00297ADE">
        <w:rPr>
          <w:b/>
          <w:bCs/>
        </w:rPr>
        <w:t>Intonácia je živá, slovosled subjektívny, má znaky „hovorovej syntaxe“</w:t>
      </w:r>
    </w:p>
    <w:p w:rsidR="00000000" w:rsidRPr="00297ADE" w:rsidRDefault="00860BAC" w:rsidP="00297ADE">
      <w:pPr>
        <w:numPr>
          <w:ilvl w:val="1"/>
          <w:numId w:val="23"/>
        </w:numPr>
        <w:spacing w:after="0" w:line="240" w:lineRule="auto"/>
        <w:rPr>
          <w:lang w:val="cs-CZ"/>
        </w:rPr>
      </w:pPr>
      <w:r w:rsidRPr="00297ADE">
        <w:rPr>
          <w:b/>
          <w:bCs/>
        </w:rPr>
        <w:t>Veta je kratšia</w:t>
      </w:r>
    </w:p>
    <w:p w:rsidR="00860BAC" w:rsidRDefault="00860BAC" w:rsidP="00297ADE">
      <w:pPr>
        <w:spacing w:after="0" w:line="240" w:lineRule="auto"/>
      </w:pPr>
    </w:p>
    <w:p w:rsidR="00297ADE" w:rsidRPr="00860BAC" w:rsidRDefault="00860BAC" w:rsidP="00297ADE">
      <w:pPr>
        <w:spacing w:after="0" w:line="240" w:lineRule="auto"/>
        <w:rPr>
          <w:b/>
          <w:sz w:val="24"/>
          <w:szCs w:val="24"/>
        </w:rPr>
      </w:pPr>
      <w:r w:rsidRPr="00860BAC">
        <w:rPr>
          <w:b/>
          <w:sz w:val="24"/>
          <w:szCs w:val="24"/>
        </w:rPr>
        <w:t>Možnosti transformácie priamej reči</w:t>
      </w:r>
    </w:p>
    <w:p w:rsidR="00000000" w:rsidRPr="00860BAC" w:rsidRDefault="00860BAC" w:rsidP="00860BAC">
      <w:pPr>
        <w:numPr>
          <w:ilvl w:val="0"/>
          <w:numId w:val="24"/>
        </w:numPr>
        <w:spacing w:after="0" w:line="240" w:lineRule="auto"/>
        <w:rPr>
          <w:lang w:val="cs-CZ"/>
        </w:rPr>
      </w:pPr>
      <w:r w:rsidRPr="00860BAC">
        <w:rPr>
          <w:b/>
          <w:bCs/>
        </w:rPr>
        <w:t xml:space="preserve">Priama reč  </w:t>
      </w:r>
      <w:r w:rsidRPr="00860BAC">
        <w:t>-</w:t>
      </w:r>
      <w:r w:rsidRPr="00860BAC">
        <w:rPr>
          <w:b/>
          <w:bCs/>
        </w:rPr>
        <w:t xml:space="preserve">  </w:t>
      </w:r>
      <w:r w:rsidRPr="00860BAC">
        <w:t>doslovné citovanie reči postáv</w:t>
      </w:r>
    </w:p>
    <w:p w:rsidR="00860BAC" w:rsidRPr="00860BAC" w:rsidRDefault="00860BAC" w:rsidP="00860BAC">
      <w:pPr>
        <w:spacing w:after="0" w:line="240" w:lineRule="auto"/>
        <w:rPr>
          <w:lang w:val="cs-CZ"/>
        </w:rPr>
      </w:pPr>
      <w:r w:rsidRPr="00860BAC">
        <w:rPr>
          <w:i/>
          <w:iCs/>
        </w:rPr>
        <w:t>„Nezabudni si napísať úlohu,“ povedala som, „určite sa bude kontrolovať.“</w:t>
      </w:r>
    </w:p>
    <w:p w:rsidR="00000000" w:rsidRPr="00860BAC" w:rsidRDefault="00860BAC" w:rsidP="00860BAC">
      <w:pPr>
        <w:numPr>
          <w:ilvl w:val="0"/>
          <w:numId w:val="25"/>
        </w:numPr>
        <w:spacing w:after="0" w:line="240" w:lineRule="auto"/>
        <w:rPr>
          <w:lang w:val="cs-CZ"/>
        </w:rPr>
      </w:pPr>
      <w:r w:rsidRPr="00860BAC">
        <w:rPr>
          <w:b/>
          <w:bCs/>
        </w:rPr>
        <w:t>Nepriama reč</w:t>
      </w:r>
      <w:r w:rsidRPr="00860BAC">
        <w:rPr>
          <w:b/>
          <w:bCs/>
        </w:rPr>
        <w:t xml:space="preserve">  </w:t>
      </w:r>
      <w:r w:rsidRPr="00860BAC">
        <w:t>- rozprávač nepriamo reprodukuje prehovor postavy svojou vlastnou rečou</w:t>
      </w:r>
    </w:p>
    <w:p w:rsidR="00860BAC" w:rsidRPr="00860BAC" w:rsidRDefault="00860BAC" w:rsidP="00860BAC">
      <w:pPr>
        <w:spacing w:after="0" w:line="240" w:lineRule="auto"/>
        <w:rPr>
          <w:lang w:val="cs-CZ"/>
        </w:rPr>
      </w:pPr>
      <w:r w:rsidRPr="00860BAC">
        <w:rPr>
          <w:i/>
          <w:iCs/>
        </w:rPr>
        <w:t>Povedala som, že si  má napísať úlohu, pretože sa bude určite kontrolovať.</w:t>
      </w:r>
    </w:p>
    <w:p w:rsidR="00000000" w:rsidRPr="00860BAC" w:rsidRDefault="00860BAC" w:rsidP="00860BAC">
      <w:pPr>
        <w:numPr>
          <w:ilvl w:val="0"/>
          <w:numId w:val="26"/>
        </w:numPr>
        <w:spacing w:after="0" w:line="240" w:lineRule="auto"/>
        <w:rPr>
          <w:lang w:val="cs-CZ"/>
        </w:rPr>
      </w:pPr>
      <w:r w:rsidRPr="00860BAC">
        <w:rPr>
          <w:b/>
          <w:bCs/>
        </w:rPr>
        <w:t>Nevlastná priama reč</w:t>
      </w:r>
      <w:r w:rsidRPr="00860BAC">
        <w:rPr>
          <w:b/>
          <w:bCs/>
        </w:rPr>
        <w:t xml:space="preserve"> </w:t>
      </w:r>
      <w:r w:rsidRPr="00860BAC">
        <w:rPr>
          <w:b/>
          <w:bCs/>
        </w:rPr>
        <w:t xml:space="preserve"> </w:t>
      </w:r>
      <w:r w:rsidRPr="00860BAC">
        <w:t>- slúži na vyjadrenie vnútornej reči postáv. Najčastejšie nemá uvádzaciu vetu. Od vlastnej priamej reči sa odlišuje tým, že nie je vyčlenená osobitným odsekom a neoddeľuje sa v texte úvodzovkami.</w:t>
      </w:r>
    </w:p>
    <w:p w:rsidR="00860BAC" w:rsidRPr="00860BAC" w:rsidRDefault="00860BAC" w:rsidP="00860BAC">
      <w:pPr>
        <w:spacing w:after="0" w:line="240" w:lineRule="auto"/>
        <w:rPr>
          <w:lang w:val="cs-CZ"/>
        </w:rPr>
      </w:pPr>
      <w:r w:rsidRPr="00860BAC">
        <w:rPr>
          <w:i/>
          <w:iCs/>
        </w:rPr>
        <w:t>Nezabudni si napísať úlohu, povedala som, určite sa bude kontrolovať.</w:t>
      </w:r>
    </w:p>
    <w:p w:rsidR="00000000" w:rsidRPr="00860BAC" w:rsidRDefault="00860BAC" w:rsidP="00860BAC">
      <w:pPr>
        <w:numPr>
          <w:ilvl w:val="0"/>
          <w:numId w:val="27"/>
        </w:numPr>
        <w:spacing w:after="0" w:line="240" w:lineRule="auto"/>
        <w:rPr>
          <w:lang w:val="cs-CZ"/>
        </w:rPr>
      </w:pPr>
      <w:r w:rsidRPr="00860BAC">
        <w:rPr>
          <w:b/>
          <w:bCs/>
        </w:rPr>
        <w:t>Polopriama reč</w:t>
      </w:r>
      <w:r w:rsidRPr="00860BAC">
        <w:rPr>
          <w:b/>
          <w:bCs/>
        </w:rPr>
        <w:t xml:space="preserve"> </w:t>
      </w:r>
      <w:r w:rsidRPr="00860BAC">
        <w:t>– sa funkčne zbližuje s nevlastnou priamou rečou. Odlišujú sa najmä kategóriou slovesnej osoby (využíva 3. osobu)</w:t>
      </w:r>
    </w:p>
    <w:p w:rsidR="00860BAC" w:rsidRPr="00860BAC" w:rsidRDefault="00860BAC" w:rsidP="00860BAC">
      <w:pPr>
        <w:spacing w:after="0" w:line="240" w:lineRule="auto"/>
        <w:rPr>
          <w:lang w:val="cs-CZ"/>
        </w:rPr>
      </w:pPr>
      <w:r w:rsidRPr="00860BAC">
        <w:rPr>
          <w:i/>
          <w:iCs/>
        </w:rPr>
        <w:t>Nie, nezabudne si napísať úlohu, nechce mať problém s učiteľkou.</w:t>
      </w:r>
    </w:p>
    <w:p w:rsidR="00000000" w:rsidRPr="00860BAC" w:rsidRDefault="00860BAC" w:rsidP="00860BAC">
      <w:pPr>
        <w:numPr>
          <w:ilvl w:val="0"/>
          <w:numId w:val="28"/>
        </w:numPr>
        <w:spacing w:after="0" w:line="240" w:lineRule="auto"/>
        <w:rPr>
          <w:lang w:val="cs-CZ"/>
        </w:rPr>
      </w:pPr>
      <w:r w:rsidRPr="00860BAC">
        <w:rPr>
          <w:b/>
          <w:bCs/>
        </w:rPr>
        <w:t>Vnútorný monológ</w:t>
      </w:r>
      <w:r w:rsidRPr="00860BAC">
        <w:rPr>
          <w:b/>
          <w:bCs/>
        </w:rPr>
        <w:t xml:space="preserve"> </w:t>
      </w:r>
      <w:r w:rsidRPr="00860BAC">
        <w:t>– formuluje sa v ňom myslenie ro</w:t>
      </w:r>
      <w:r w:rsidRPr="00860BAC">
        <w:t>zprávajúceho subjektu. Čitateľ sleduje vnútorné pohnútky konania postavy, jej citové hnutia, úvahy, protikladné duševné stavy, má možnosť vniknúť hlbšie do jej charakteru.</w:t>
      </w:r>
    </w:p>
    <w:p w:rsidR="00860BAC" w:rsidRDefault="00860BAC" w:rsidP="00860BAC">
      <w:pPr>
        <w:spacing w:after="0" w:line="240" w:lineRule="auto"/>
      </w:pPr>
      <w:r w:rsidRPr="00860BAC">
        <w:rPr>
          <w:b/>
          <w:bCs/>
        </w:rPr>
        <w:t>Dialogizovaný vnútorný monológ –</w:t>
      </w:r>
      <w:r w:rsidRPr="00860BAC">
        <w:t xml:space="preserve"> vedie postava sama so sebou</w:t>
      </w:r>
    </w:p>
    <w:p w:rsidR="00860BAC" w:rsidRDefault="00860BAC" w:rsidP="00860BAC">
      <w:pPr>
        <w:spacing w:after="0" w:line="240" w:lineRule="auto"/>
      </w:pPr>
    </w:p>
    <w:p w:rsidR="00860BAC" w:rsidRDefault="00860BAC" w:rsidP="00860BAC">
      <w:pPr>
        <w:spacing w:after="0" w:line="240" w:lineRule="auto"/>
      </w:pPr>
    </w:p>
    <w:sectPr w:rsidR="00860BAC" w:rsidSect="00F32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F37"/>
    <w:multiLevelType w:val="hybridMultilevel"/>
    <w:tmpl w:val="D54A1844"/>
    <w:lvl w:ilvl="0" w:tplc="2F46F0E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1087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6081D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B0E67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58E3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B4E4F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20F8F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1448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3A5EF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AA56E0"/>
    <w:multiLevelType w:val="hybridMultilevel"/>
    <w:tmpl w:val="4A7E5C8A"/>
    <w:lvl w:ilvl="0" w:tplc="7C04213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02D15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28A11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90368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FEC801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40E21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2EA42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D08D3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96677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81C4FBE"/>
    <w:multiLevelType w:val="hybridMultilevel"/>
    <w:tmpl w:val="01486FB8"/>
    <w:lvl w:ilvl="0" w:tplc="5B96DE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B28E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6C79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B6C3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FCB3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E6A1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1A0C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36DE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260F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47426F"/>
    <w:multiLevelType w:val="hybridMultilevel"/>
    <w:tmpl w:val="CC743428"/>
    <w:lvl w:ilvl="0" w:tplc="37204F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AAA6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149F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850B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489D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E4D06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CAB9E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8B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CEF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CA13B64"/>
    <w:multiLevelType w:val="hybridMultilevel"/>
    <w:tmpl w:val="5A60A5A2"/>
    <w:lvl w:ilvl="0" w:tplc="B5AE47A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465CD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62A65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D8DE4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A492F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60C59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C6844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9806B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4257D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D2F666A"/>
    <w:multiLevelType w:val="hybridMultilevel"/>
    <w:tmpl w:val="5BDC8886"/>
    <w:lvl w:ilvl="0" w:tplc="E33AEE5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F8967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76A7E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584C43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38FB9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C2D66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7A810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8643C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E65E6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0D7024E2"/>
    <w:multiLevelType w:val="hybridMultilevel"/>
    <w:tmpl w:val="4610644C"/>
    <w:lvl w:ilvl="0" w:tplc="464E80E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CC604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4AD7C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0EF0C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1273A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6E415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F281A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003A5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CAC2D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0E963F97"/>
    <w:multiLevelType w:val="hybridMultilevel"/>
    <w:tmpl w:val="89920A38"/>
    <w:lvl w:ilvl="0" w:tplc="740A0ED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303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B84D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36ACC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FA17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1C6F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BA899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D0BD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B2557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0F747F5A"/>
    <w:multiLevelType w:val="hybridMultilevel"/>
    <w:tmpl w:val="08D2CCEA"/>
    <w:lvl w:ilvl="0" w:tplc="BE9036C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F8FDD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4AAB8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705BD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08F9D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E08A6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56785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CED2D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8C57C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3277603"/>
    <w:multiLevelType w:val="hybridMultilevel"/>
    <w:tmpl w:val="1FD471A4"/>
    <w:lvl w:ilvl="0" w:tplc="2662E4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740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CE335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2ED6F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1AB7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802F5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2E4E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60B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A4F83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B886020"/>
    <w:multiLevelType w:val="hybridMultilevel"/>
    <w:tmpl w:val="DDF21DD0"/>
    <w:lvl w:ilvl="0" w:tplc="33BE75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CC205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2AD4E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8A1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B8FF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002E0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C4F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1008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DA13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1436D"/>
    <w:multiLevelType w:val="hybridMultilevel"/>
    <w:tmpl w:val="EF1A80A2"/>
    <w:lvl w:ilvl="0" w:tplc="624A2FA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2E064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B45E0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1C88C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842E8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E2C0E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FE35F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58711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E664F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0D5312A"/>
    <w:multiLevelType w:val="hybridMultilevel"/>
    <w:tmpl w:val="CA7EE990"/>
    <w:lvl w:ilvl="0" w:tplc="CD7A6D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3892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B86D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ECC0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702B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AA36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6AE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6808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94F0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547DB"/>
    <w:multiLevelType w:val="hybridMultilevel"/>
    <w:tmpl w:val="9E76B256"/>
    <w:lvl w:ilvl="0" w:tplc="2884CE6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68F35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8EED3E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14ADA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287B1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649F5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CC434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4046D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22155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2C002C9A"/>
    <w:multiLevelType w:val="hybridMultilevel"/>
    <w:tmpl w:val="8E96A84A"/>
    <w:lvl w:ilvl="0" w:tplc="AF82916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6AC17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8C817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5CD94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16414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46CFA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99EED4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72443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12B17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0321C79"/>
    <w:multiLevelType w:val="hybridMultilevel"/>
    <w:tmpl w:val="E83CF52E"/>
    <w:lvl w:ilvl="0" w:tplc="ADDC6EA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38891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34630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F46E3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307D2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CE169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6E6C6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92191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CEF61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50E1EE5"/>
    <w:multiLevelType w:val="hybridMultilevel"/>
    <w:tmpl w:val="F75C35EC"/>
    <w:lvl w:ilvl="0" w:tplc="1652A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78A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C24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FA8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B20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663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225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466E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E66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5E002C0"/>
    <w:multiLevelType w:val="hybridMultilevel"/>
    <w:tmpl w:val="62D01962"/>
    <w:lvl w:ilvl="0" w:tplc="0CB00DC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73E460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00F03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36666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8ECE3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BA220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958D35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E0753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721E6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39D027AC"/>
    <w:multiLevelType w:val="hybridMultilevel"/>
    <w:tmpl w:val="7472D3B6"/>
    <w:lvl w:ilvl="0" w:tplc="6F5EECB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707BC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12B21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04791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90DB7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B27B8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B84FB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82F07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3EDA5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3D9120E5"/>
    <w:multiLevelType w:val="hybridMultilevel"/>
    <w:tmpl w:val="47E0B072"/>
    <w:lvl w:ilvl="0" w:tplc="9F52A88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D86A1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6C7A1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7F2D0B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6C562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72EE3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F2001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72B60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EAC80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42DD539D"/>
    <w:multiLevelType w:val="hybridMultilevel"/>
    <w:tmpl w:val="D79E86C4"/>
    <w:lvl w:ilvl="0" w:tplc="8A46021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345A64">
      <w:start w:val="81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80604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C075A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75EC95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E2637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B068E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A4E81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428AA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4A7F2A10"/>
    <w:multiLevelType w:val="hybridMultilevel"/>
    <w:tmpl w:val="A4724AFE"/>
    <w:lvl w:ilvl="0" w:tplc="54FCB4A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18DF0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11077A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52C5B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CAA4E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4C575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8C908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AAA12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58AB4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50B573AB"/>
    <w:multiLevelType w:val="hybridMultilevel"/>
    <w:tmpl w:val="70ECAFDE"/>
    <w:lvl w:ilvl="0" w:tplc="717AC9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66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F674F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EA8C9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6A0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CE4E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3442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5E04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CF51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24A1DF0"/>
    <w:multiLevelType w:val="hybridMultilevel"/>
    <w:tmpl w:val="54B644C2"/>
    <w:lvl w:ilvl="0" w:tplc="3D5668A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70D5B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3C7B7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00487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160F9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9EA97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AEAA9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22A20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861FB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53FD664E"/>
    <w:multiLevelType w:val="hybridMultilevel"/>
    <w:tmpl w:val="29286518"/>
    <w:lvl w:ilvl="0" w:tplc="CF14EA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8E3C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0485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866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A4E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294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AA9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9ED5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B6D3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52396E"/>
    <w:multiLevelType w:val="hybridMultilevel"/>
    <w:tmpl w:val="D19A97A6"/>
    <w:lvl w:ilvl="0" w:tplc="594C12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CC4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34003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F0644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4CD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0841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8AE16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1E79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1EA37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DB62D17"/>
    <w:multiLevelType w:val="hybridMultilevel"/>
    <w:tmpl w:val="EE5E1186"/>
    <w:lvl w:ilvl="0" w:tplc="98BC130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BC006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B2C48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903AC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4E4FF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105A7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6CB05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0AFB4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987AA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6EDE7A7D"/>
    <w:multiLevelType w:val="hybridMultilevel"/>
    <w:tmpl w:val="9C0CF180"/>
    <w:lvl w:ilvl="0" w:tplc="5F9C830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28CE2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989FF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B2A2A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1052D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B24BC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3A786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56056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BA0C8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6"/>
  </w:num>
  <w:num w:numId="5">
    <w:abstractNumId w:val="12"/>
  </w:num>
  <w:num w:numId="6">
    <w:abstractNumId w:val="11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25"/>
  </w:num>
  <w:num w:numId="12">
    <w:abstractNumId w:val="26"/>
  </w:num>
  <w:num w:numId="13">
    <w:abstractNumId w:val="22"/>
  </w:num>
  <w:num w:numId="14">
    <w:abstractNumId w:val="23"/>
  </w:num>
  <w:num w:numId="15">
    <w:abstractNumId w:val="3"/>
  </w:num>
  <w:num w:numId="16">
    <w:abstractNumId w:val="5"/>
  </w:num>
  <w:num w:numId="17">
    <w:abstractNumId w:val="7"/>
  </w:num>
  <w:num w:numId="18">
    <w:abstractNumId w:val="17"/>
  </w:num>
  <w:num w:numId="19">
    <w:abstractNumId w:val="1"/>
  </w:num>
  <w:num w:numId="20">
    <w:abstractNumId w:val="19"/>
  </w:num>
  <w:num w:numId="21">
    <w:abstractNumId w:val="10"/>
  </w:num>
  <w:num w:numId="22">
    <w:abstractNumId w:val="24"/>
  </w:num>
  <w:num w:numId="23">
    <w:abstractNumId w:val="20"/>
  </w:num>
  <w:num w:numId="24">
    <w:abstractNumId w:val="27"/>
  </w:num>
  <w:num w:numId="25">
    <w:abstractNumId w:val="18"/>
  </w:num>
  <w:num w:numId="26">
    <w:abstractNumId w:val="13"/>
  </w:num>
  <w:num w:numId="27">
    <w:abstractNumId w:val="21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97ADE"/>
    <w:rsid w:val="00297ADE"/>
    <w:rsid w:val="00860BAC"/>
    <w:rsid w:val="00F3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2354"/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9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7ADE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83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1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3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8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5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9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8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8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0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1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0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4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3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2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9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97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73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7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05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3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4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6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2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1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4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36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2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02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3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8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1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7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900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8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22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36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6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9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1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5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Zvolen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Dindeš</dc:creator>
  <cp:keywords/>
  <dc:description/>
  <cp:lastModifiedBy>Michal Dindeš</cp:lastModifiedBy>
  <cp:revision>1</cp:revision>
  <dcterms:created xsi:type="dcterms:W3CDTF">2012-12-29T10:24:00Z</dcterms:created>
  <dcterms:modified xsi:type="dcterms:W3CDTF">2012-12-29T10:31:00Z</dcterms:modified>
</cp:coreProperties>
</file>